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79C18" w14:textId="77777777" w:rsidR="00C96582" w:rsidRPr="005B5957" w:rsidRDefault="00C96582">
      <w:pPr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1761"/>
        <w:gridCol w:w="1760"/>
        <w:gridCol w:w="1782"/>
        <w:gridCol w:w="1766"/>
        <w:gridCol w:w="1766"/>
        <w:gridCol w:w="1766"/>
        <w:gridCol w:w="1768"/>
        <w:gridCol w:w="600"/>
      </w:tblGrid>
      <w:tr w:rsidR="005B5957" w:rsidRPr="005B5957" w14:paraId="1FB0A714" w14:textId="1C47E978" w:rsidTr="00A179E1">
        <w:tc>
          <w:tcPr>
            <w:tcW w:w="1207" w:type="dxa"/>
          </w:tcPr>
          <w:p w14:paraId="289ED43E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61" w:type="dxa"/>
          </w:tcPr>
          <w:p w14:paraId="70411F5E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Rec</w:t>
            </w:r>
          </w:p>
        </w:tc>
        <w:tc>
          <w:tcPr>
            <w:tcW w:w="1760" w:type="dxa"/>
          </w:tcPr>
          <w:p w14:paraId="0D5D58FB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Y1</w:t>
            </w:r>
          </w:p>
        </w:tc>
        <w:tc>
          <w:tcPr>
            <w:tcW w:w="1782" w:type="dxa"/>
          </w:tcPr>
          <w:p w14:paraId="512B442A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Y2</w:t>
            </w:r>
          </w:p>
        </w:tc>
        <w:tc>
          <w:tcPr>
            <w:tcW w:w="1766" w:type="dxa"/>
          </w:tcPr>
          <w:p w14:paraId="03E2D4D4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Y3</w:t>
            </w:r>
          </w:p>
        </w:tc>
        <w:tc>
          <w:tcPr>
            <w:tcW w:w="1766" w:type="dxa"/>
          </w:tcPr>
          <w:p w14:paraId="300B8D20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Y4</w:t>
            </w:r>
          </w:p>
        </w:tc>
        <w:tc>
          <w:tcPr>
            <w:tcW w:w="1766" w:type="dxa"/>
          </w:tcPr>
          <w:p w14:paraId="4631E2BC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Y5</w:t>
            </w:r>
          </w:p>
        </w:tc>
        <w:tc>
          <w:tcPr>
            <w:tcW w:w="1768" w:type="dxa"/>
          </w:tcPr>
          <w:p w14:paraId="02D42589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Y6</w:t>
            </w:r>
          </w:p>
        </w:tc>
        <w:tc>
          <w:tcPr>
            <w:tcW w:w="600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3D9D1CCD" w:rsidR="00C96582" w:rsidRPr="005B5957" w:rsidRDefault="00F5126D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Writing</w:t>
            </w:r>
            <w:r w:rsidR="00F83E64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Non-</w:t>
            </w:r>
            <w:r w:rsidR="00C96582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Negotiables </w:t>
            </w:r>
            <w:r w:rsidR="005204B8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  </w:t>
            </w:r>
            <w:r w:rsidR="00C96582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(Minimum end of year expectations)</w:t>
            </w:r>
          </w:p>
        </w:tc>
      </w:tr>
      <w:tr w:rsidR="005B5957" w:rsidRPr="005B5957" w14:paraId="035837D6" w14:textId="283C4A99" w:rsidTr="00A179E1">
        <w:tc>
          <w:tcPr>
            <w:tcW w:w="1207" w:type="dxa"/>
          </w:tcPr>
          <w:p w14:paraId="06FFAB24" w14:textId="7B8829BC" w:rsidR="00C96582" w:rsidRPr="005B5957" w:rsidRDefault="00163838" w:rsidP="00E2132B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 xml:space="preserve">Sentence </w:t>
            </w:r>
            <w:r w:rsidR="00E2132B"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&amp; text structure</w:t>
            </w:r>
          </w:p>
        </w:tc>
        <w:tc>
          <w:tcPr>
            <w:tcW w:w="1761" w:type="dxa"/>
          </w:tcPr>
          <w:p w14:paraId="0AFE31D4" w14:textId="77777777" w:rsidR="00C131E8" w:rsidRPr="00C75BEB" w:rsidRDefault="009E5930" w:rsidP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simple sentences which can be read by themselves &amp; others. </w:t>
            </w:r>
          </w:p>
          <w:p w14:paraId="51D7B449" w14:textId="77777777" w:rsidR="00961A69" w:rsidRPr="00C75BEB" w:rsidRDefault="00961A69" w:rsidP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955371B" w14:textId="54CA5886" w:rsidR="009E5930" w:rsidRPr="00C75BEB" w:rsidRDefault="009E5930" w:rsidP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own names correctly. </w:t>
            </w:r>
          </w:p>
        </w:tc>
        <w:tc>
          <w:tcPr>
            <w:tcW w:w="1760" w:type="dxa"/>
          </w:tcPr>
          <w:p w14:paraId="353FCE62" w14:textId="77777777" w:rsidR="00C96582" w:rsidRPr="00C75BEB" w:rsidRDefault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clearly demarcated sentences. </w:t>
            </w:r>
          </w:p>
          <w:p w14:paraId="6BDD650F" w14:textId="77777777" w:rsidR="009E5930" w:rsidRPr="00C75BEB" w:rsidRDefault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AC303E7" w14:textId="77777777" w:rsidR="009E5930" w:rsidRPr="00C75BEB" w:rsidRDefault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‘and’ to join ideas.</w:t>
            </w:r>
          </w:p>
          <w:p w14:paraId="367992A7" w14:textId="77777777" w:rsidR="00F454B5" w:rsidRPr="00C75BEB" w:rsidRDefault="00F454B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3708E45B" w14:textId="77777777" w:rsidR="00E2132B" w:rsidRPr="00C75BEB" w:rsidRDefault="00F454B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conjunctions to join sentences (e.g. so, but).</w:t>
            </w:r>
            <w:r w:rsidR="00E2132B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  <w:p w14:paraId="43C631DD" w14:textId="77777777" w:rsidR="00E2132B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52FD508" w14:textId="6B2D4BEA" w:rsidR="00F454B5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standard forms of verbs, e.g. go/went.</w:t>
            </w:r>
          </w:p>
        </w:tc>
        <w:tc>
          <w:tcPr>
            <w:tcW w:w="1782" w:type="dxa"/>
          </w:tcPr>
          <w:p w14:paraId="12818FDB" w14:textId="77777777" w:rsidR="00C96582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different kinds of sentence: statement, question, exclamation, command. </w:t>
            </w:r>
          </w:p>
          <w:p w14:paraId="1EA9E007" w14:textId="77777777" w:rsidR="00BF56BE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6041F6B" w14:textId="6473C649" w:rsidR="00BF56BE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expanded noun phrases to add description</w:t>
            </w:r>
            <w:r w:rsidR="00AE0FA2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&amp; specification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.</w:t>
            </w:r>
          </w:p>
          <w:p w14:paraId="153D12D4" w14:textId="77777777" w:rsidR="00BF56BE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E2990D9" w14:textId="77777777" w:rsidR="00E2132B" w:rsidRPr="00C75BEB" w:rsidRDefault="00BF56BE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Write using subordination (when, if, that, because</w:t>
            </w:r>
            <w:r w:rsidR="00AE0FA2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).</w:t>
            </w:r>
            <w:r w:rsidR="00E2132B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  <w:p w14:paraId="6DD97B1A" w14:textId="77777777" w:rsidR="00E2132B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6620742" w14:textId="6BA68216" w:rsidR="00E2132B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Correct &amp; consistent use of present tense &amp; past tense. </w:t>
            </w:r>
          </w:p>
          <w:p w14:paraId="19BD3783" w14:textId="77777777" w:rsidR="00E2132B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70C8606" w14:textId="0B07497A" w:rsidR="00BF56BE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use of verb tenses.</w:t>
            </w:r>
          </w:p>
        </w:tc>
        <w:tc>
          <w:tcPr>
            <w:tcW w:w="1766" w:type="dxa"/>
          </w:tcPr>
          <w:p w14:paraId="11A9515E" w14:textId="77777777" w:rsidR="00C96582" w:rsidRPr="00C75BEB" w:rsidRDefault="00BF56B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conjunctions (when, so, before, after, while, because).</w:t>
            </w:r>
          </w:p>
          <w:p w14:paraId="3F1C7FA3" w14:textId="77777777" w:rsidR="00BF56BE" w:rsidRPr="00C75BEB" w:rsidRDefault="00BF56B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76F4FF4" w14:textId="77777777" w:rsidR="00BF56BE" w:rsidRPr="00C75BEB" w:rsidRDefault="00BF56B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adverbs</w:t>
            </w:r>
            <w:r w:rsidR="0049775D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(e.g. then, next, soon).</w:t>
            </w:r>
          </w:p>
          <w:p w14:paraId="3B3293A2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DCFABFF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prepositions (e.g. before, after, during, in, because of).</w:t>
            </w:r>
          </w:p>
          <w:p w14:paraId="23065026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0E34525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Experiment with adjectives to create impact.</w:t>
            </w:r>
          </w:p>
          <w:p w14:paraId="49E05E01" w14:textId="77777777" w:rsidR="00567BD6" w:rsidRPr="00C75BEB" w:rsidRDefault="00567BD6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B8C57D2" w14:textId="77777777" w:rsidR="00E2132B" w:rsidRPr="00C75BEB" w:rsidRDefault="00567BD6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Correctly use verbs in 1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  <w:vertAlign w:val="superscript"/>
              </w:rPr>
              <w:t>st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, 2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  <w:vertAlign w:val="superscript"/>
              </w:rPr>
              <w:t>nd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&amp; 3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  <w:vertAlign w:val="superscript"/>
              </w:rPr>
              <w:t>rd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person.</w:t>
            </w:r>
            <w:r w:rsidR="00E2132B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  <w:p w14:paraId="2FD4F56F" w14:textId="77777777" w:rsidR="00E2132B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7D882DC" w14:textId="77777777" w:rsidR="00567BD6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perfect form of verbs to mark relationships of time &amp; cause.</w:t>
            </w:r>
          </w:p>
          <w:p w14:paraId="467E603B" w14:textId="34233DE4" w:rsidR="00E2132B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6" w:type="dxa"/>
          </w:tcPr>
          <w:p w14:paraId="0606D046" w14:textId="77777777" w:rsidR="005D61CF" w:rsidRPr="00C75BEB" w:rsidRDefault="005D61CF" w:rsidP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Vary sentence structure, using different openers. </w:t>
            </w:r>
          </w:p>
          <w:p w14:paraId="6C13CFF7" w14:textId="77777777" w:rsidR="005D61CF" w:rsidRPr="00C75BEB" w:rsidRDefault="005D61CF" w:rsidP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F1E1B82" w14:textId="77777777" w:rsidR="00C96582" w:rsidRPr="00C75BEB" w:rsidRDefault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adjectival phrases (e.g. biting cold wind).</w:t>
            </w:r>
          </w:p>
          <w:p w14:paraId="51122FE7" w14:textId="77777777" w:rsidR="005D61CF" w:rsidRPr="00C75BEB" w:rsidRDefault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93E9F48" w14:textId="41C49D6A" w:rsidR="005D61CF" w:rsidRPr="00C75BEB" w:rsidRDefault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Appropriate choice of noun or pronoun.</w:t>
            </w:r>
          </w:p>
        </w:tc>
        <w:tc>
          <w:tcPr>
            <w:tcW w:w="1766" w:type="dxa"/>
          </w:tcPr>
          <w:p w14:paraId="393BFAB2" w14:textId="77777777" w:rsidR="00C96582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Add phrases to make sentences more precise &amp; detailed.</w:t>
            </w:r>
          </w:p>
          <w:p w14:paraId="12D2AC81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5D3F6689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range of sentence openers – judging the impact or effect needed.</w:t>
            </w:r>
          </w:p>
          <w:p w14:paraId="093B4B4C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2C45363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Begin to adapt sentence structure to text type.</w:t>
            </w:r>
          </w:p>
          <w:p w14:paraId="5C0D7E15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27183EA" w14:textId="1189941C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pronouns to avoid repetition. </w:t>
            </w:r>
          </w:p>
        </w:tc>
        <w:tc>
          <w:tcPr>
            <w:tcW w:w="1768" w:type="dxa"/>
          </w:tcPr>
          <w:p w14:paraId="5F48EEBD" w14:textId="77777777" w:rsidR="00C96582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subordinate clauses to write complex sentences. </w:t>
            </w:r>
          </w:p>
          <w:p w14:paraId="5095AEA9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95A73A5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passive voice where appropriate. </w:t>
            </w:r>
          </w:p>
          <w:p w14:paraId="0510590B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224B47F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expanded noun phrases to convey complicated information concisely (e.g. The fact that it was raining meant the end of sports day).</w:t>
            </w:r>
          </w:p>
          <w:p w14:paraId="552D2010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7DEA478" w14:textId="3F33DAEF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Evidence of sentence structure and layout matched to requirements of text type.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C0691F8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5B5957" w:rsidRPr="005B5957" w14:paraId="1B23E549" w14:textId="1260DB3F" w:rsidTr="00A179E1">
        <w:tc>
          <w:tcPr>
            <w:tcW w:w="1207" w:type="dxa"/>
          </w:tcPr>
          <w:p w14:paraId="58475B45" w14:textId="3E134A26" w:rsidR="00C96582" w:rsidRPr="005B5957" w:rsidRDefault="008E7219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noProof/>
                <w:color w:val="000000" w:themeColor="text1"/>
                <w:sz w:val="15"/>
                <w:szCs w:val="15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862B0" wp14:editId="1A9A41B9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1192530</wp:posOffset>
                      </wp:positionV>
                      <wp:extent cx="342900" cy="2400300"/>
                      <wp:effectExtent l="0" t="0" r="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429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D8C171" w14:textId="3DC91F40" w:rsidR="009F6A17" w:rsidRPr="004E23CF" w:rsidRDefault="009F6A17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</w:pPr>
                                  <w:r w:rsidRPr="004E23CF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</w:t>
                                  </w:r>
                                  <w:r w:rsidRPr="004E23CF">
                                    <w:rPr>
                                      <w:rFonts w:ascii="Lucida Grande" w:hAnsi="Lucida Grande" w:cs="Lucida Grande"/>
                                      <w:b/>
                                      <w:color w:val="000000"/>
                                      <w:sz w:val="20"/>
                                    </w:rPr>
                                    <w:t>©</w:t>
                                  </w:r>
                                  <w:r w:rsidRPr="004E23CF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 xml:space="preserve"> Focus Education UK Ltd. 201</w:t>
                                  </w:r>
                                  <w:r w:rsidR="00A179E1">
                                    <w:rPr>
                                      <w:rFonts w:ascii="Century Gothic" w:hAnsi="Century Gothic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7pt;margin-top:93.9pt;width:27pt;height:18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" filled="f" stroked="f">
                      <v:textbox style="layout-flow:vertical-ideographic">
                        <w:txbxContent>
                          <w:p w14:paraId="07D8C171" w14:textId="3DC91F40" w:rsidR="009F6A17" w:rsidRPr="004E23CF" w:rsidRDefault="009F6A17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4E23C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4E23CF">
                              <w:rPr>
                                <w:rFonts w:ascii="Lucida Grande" w:hAnsi="Lucida Grande" w:cs="Lucida Grande"/>
                                <w:b/>
                                <w:color w:val="000000"/>
                                <w:sz w:val="20"/>
                              </w:rPr>
                              <w:t>©</w:t>
                            </w:r>
                            <w:r w:rsidRPr="004E23CF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Focus Education UK Ltd. 201</w:t>
                            </w:r>
                            <w:r w:rsidR="00A179E1">
                              <w:rPr>
                                <w:rFonts w:ascii="Century Gothic" w:hAnsi="Century Gothic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6BE"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Punctuation</w:t>
            </w:r>
          </w:p>
        </w:tc>
        <w:tc>
          <w:tcPr>
            <w:tcW w:w="1761" w:type="dxa"/>
          </w:tcPr>
          <w:p w14:paraId="630B2E7B" w14:textId="02439687" w:rsidR="00C96582" w:rsidRPr="00C75BEB" w:rsidRDefault="002B0F3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</w:t>
            </w:r>
            <w:r w:rsidR="00D04E31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apital letters and full stops to demarcate sentences. </w:t>
            </w:r>
          </w:p>
          <w:p w14:paraId="4485393D" w14:textId="506EAFE5" w:rsidR="00D04E31" w:rsidRPr="00C75BEB" w:rsidRDefault="00D04E31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0" w:type="dxa"/>
          </w:tcPr>
          <w:p w14:paraId="5B2C450F" w14:textId="77777777" w:rsidR="00961A69" w:rsidRPr="00C75BEB" w:rsidRDefault="00961A6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Evidence of:</w:t>
            </w:r>
          </w:p>
          <w:p w14:paraId="18B6DE8F" w14:textId="77777777" w:rsidR="00C96582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Capital letters.</w:t>
            </w:r>
          </w:p>
          <w:p w14:paraId="13988A20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Full stops.</w:t>
            </w:r>
          </w:p>
          <w:p w14:paraId="01310582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Question marks.</w:t>
            </w:r>
          </w:p>
          <w:p w14:paraId="16FD1806" w14:textId="6634BE39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Exclamation marks.</w:t>
            </w:r>
          </w:p>
          <w:p w14:paraId="467286B7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5F1A477" w14:textId="0CB65F83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Capital letters for </w:t>
            </w:r>
            <w:r w:rsidR="00F454B5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names &amp; 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personal pronoun ‘I’.</w:t>
            </w:r>
          </w:p>
        </w:tc>
        <w:tc>
          <w:tcPr>
            <w:tcW w:w="1782" w:type="dxa"/>
          </w:tcPr>
          <w:p w14:paraId="167EF160" w14:textId="3116979C" w:rsidR="00C96582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</w:t>
            </w:r>
            <w:r w:rsidR="00961A69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orrect &amp; </w:t>
            </w:r>
            <w:r w:rsidR="00F454B5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consistent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use of:</w:t>
            </w:r>
          </w:p>
          <w:p w14:paraId="036EC28B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Capital letters.</w:t>
            </w:r>
          </w:p>
          <w:p w14:paraId="4B29FEE6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Full stops.</w:t>
            </w:r>
          </w:p>
          <w:p w14:paraId="2524A46F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Question marks.</w:t>
            </w:r>
          </w:p>
          <w:p w14:paraId="09C4F8DD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Exclamation marks.</w:t>
            </w:r>
          </w:p>
          <w:p w14:paraId="648BF526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8489BDA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Commas in a list.</w:t>
            </w:r>
          </w:p>
          <w:p w14:paraId="6091C33A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3FDFFE7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Apostrophe (omission). </w:t>
            </w:r>
          </w:p>
          <w:p w14:paraId="224F2BFE" w14:textId="77777777" w:rsidR="000F313E" w:rsidRPr="00C75BEB" w:rsidRDefault="000F313E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23F31C2" w14:textId="52577867" w:rsidR="000F313E" w:rsidRPr="00C75BEB" w:rsidRDefault="000F313E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Introduction of speech marks.</w:t>
            </w:r>
          </w:p>
        </w:tc>
        <w:tc>
          <w:tcPr>
            <w:tcW w:w="1766" w:type="dxa"/>
          </w:tcPr>
          <w:p w14:paraId="2489A7FA" w14:textId="77777777" w:rsidR="00C96582" w:rsidRPr="00C75BEB" w:rsidRDefault="00C14CA8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use of s</w:t>
            </w:r>
            <w:r w:rsidR="00FA1F29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peech marks for direct speech.</w:t>
            </w:r>
          </w:p>
          <w:p w14:paraId="4FFDE33B" w14:textId="77777777" w:rsidR="00567BD6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D64D916" w14:textId="7301E03D" w:rsidR="00567BD6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6" w:type="dxa"/>
          </w:tcPr>
          <w:p w14:paraId="1B5B618D" w14:textId="2708D10A" w:rsidR="00C96582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Apostrophe for </w:t>
            </w:r>
            <w:r w:rsidR="00EB0901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singular &amp; plural 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possession. </w:t>
            </w:r>
          </w:p>
          <w:p w14:paraId="4DD83F98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8FAE542" w14:textId="18482488" w:rsidR="00567BD6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Comma after fronted adverbial</w:t>
            </w:r>
            <w:r w:rsidR="00EB0901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(e.g. Later that day, I heard bad news.)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. </w:t>
            </w:r>
          </w:p>
          <w:p w14:paraId="71CE64A9" w14:textId="77777777" w:rsidR="00567BD6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0E8F344" w14:textId="1C39D5DE" w:rsidR="00FA1F29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commas to mark clauses.</w:t>
            </w:r>
          </w:p>
        </w:tc>
        <w:tc>
          <w:tcPr>
            <w:tcW w:w="1766" w:type="dxa"/>
          </w:tcPr>
          <w:p w14:paraId="34B8485A" w14:textId="77777777" w:rsidR="00C96582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Brackets. </w:t>
            </w:r>
          </w:p>
          <w:p w14:paraId="1935F3A4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Dashes. </w:t>
            </w:r>
          </w:p>
          <w:p w14:paraId="09A430F0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Commas.</w:t>
            </w:r>
          </w:p>
          <w:p w14:paraId="7AF611AB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C603A1F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Commas to clarify meaning or avoid ambiguity. </w:t>
            </w:r>
          </w:p>
          <w:p w14:paraId="02A277A1" w14:textId="77777777" w:rsidR="002F4B58" w:rsidRPr="00C75BEB" w:rsidRDefault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E7C24D7" w14:textId="77777777" w:rsidR="00612786" w:rsidRPr="00C75BEB" w:rsidRDefault="002F4B58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Link clauses in sentences using a range of subordinating &amp; coordinating conjunctions.</w:t>
            </w:r>
          </w:p>
          <w:p w14:paraId="0415D6B0" w14:textId="77777777" w:rsidR="00612786" w:rsidRPr="00C75BEB" w:rsidRDefault="00612786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539FE71" w14:textId="77777777" w:rsidR="002F4B58" w:rsidRDefault="00612786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verb phrases to create subtle differences (e.g. she began to run).</w:t>
            </w:r>
          </w:p>
          <w:p w14:paraId="53C93C1D" w14:textId="4415DAE0" w:rsidR="00C75BEB" w:rsidRPr="00C75BEB" w:rsidRDefault="00C75BEB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8" w:type="dxa"/>
          </w:tcPr>
          <w:p w14:paraId="692FAC0D" w14:textId="3F35B2F4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Semi-colon, colon, dash to mark the boundary between independent clauses. </w:t>
            </w:r>
          </w:p>
          <w:p w14:paraId="0A1EFE9B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21A2A1E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punctuation of bullet points.</w:t>
            </w:r>
          </w:p>
          <w:p w14:paraId="20CEA860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A5BDC5F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Hyphens to avoid ambiguity.</w:t>
            </w:r>
          </w:p>
          <w:p w14:paraId="2121EE32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A13F827" w14:textId="4264DB2E" w:rsidR="00FA1F29" w:rsidRPr="00C75BEB" w:rsidRDefault="00FA1F29" w:rsidP="00B37F1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Full range of punctuation matched to requirements of </w:t>
            </w:r>
            <w:r w:rsidR="00B37F1D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text type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.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C7C161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5B5957" w:rsidRPr="005B5957" w14:paraId="3E261BFB" w14:textId="12525BC7" w:rsidTr="00A179E1">
        <w:tc>
          <w:tcPr>
            <w:tcW w:w="1207" w:type="dxa"/>
          </w:tcPr>
          <w:p w14:paraId="1A2923C9" w14:textId="4C6249E8" w:rsidR="00C96582" w:rsidRPr="005B5957" w:rsidRDefault="00163838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Paragraphing</w:t>
            </w:r>
          </w:p>
        </w:tc>
        <w:tc>
          <w:tcPr>
            <w:tcW w:w="1761" w:type="dxa"/>
          </w:tcPr>
          <w:p w14:paraId="374E9316" w14:textId="75726953" w:rsidR="00C96582" w:rsidRPr="00C75BEB" w:rsidRDefault="0053080D" w:rsidP="0053080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Clearly demarcated sentences </w:t>
            </w:r>
            <w:r w:rsidRPr="00C75BEB">
              <w:rPr>
                <w:rFonts w:ascii="Century Gothic" w:hAnsi="Century Gothic"/>
                <w:i/>
                <w:color w:val="000000" w:themeColor="text1"/>
                <w:sz w:val="13"/>
                <w:szCs w:val="15"/>
              </w:rPr>
              <w:t>[as introduction to paragraphs].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</w:tc>
        <w:tc>
          <w:tcPr>
            <w:tcW w:w="1760" w:type="dxa"/>
          </w:tcPr>
          <w:p w14:paraId="5C6D8E41" w14:textId="06D91136" w:rsidR="00C96582" w:rsidRPr="00C75BEB" w:rsidRDefault="0053080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Clearly sequenced sentences </w:t>
            </w:r>
            <w:r w:rsidRPr="00C75BEB">
              <w:rPr>
                <w:rFonts w:ascii="Century Gothic" w:hAnsi="Century Gothic"/>
                <w:i/>
                <w:color w:val="000000" w:themeColor="text1"/>
                <w:sz w:val="13"/>
                <w:szCs w:val="15"/>
              </w:rPr>
              <w:t xml:space="preserve">[as introduction to paragraphs]. </w:t>
            </w:r>
          </w:p>
        </w:tc>
        <w:tc>
          <w:tcPr>
            <w:tcW w:w="1782" w:type="dxa"/>
          </w:tcPr>
          <w:p w14:paraId="71F73697" w14:textId="0A4EA9E9" w:rsidR="00C96582" w:rsidRPr="00C75BEB" w:rsidRDefault="0053080D" w:rsidP="00D318A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under headings </w:t>
            </w:r>
            <w:r w:rsidRPr="00C75BEB">
              <w:rPr>
                <w:rFonts w:ascii="Century Gothic" w:hAnsi="Century Gothic"/>
                <w:i/>
                <w:color w:val="000000" w:themeColor="text1"/>
                <w:sz w:val="13"/>
                <w:szCs w:val="15"/>
              </w:rPr>
              <w:t>[as introduction to paragraphs]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. </w:t>
            </w:r>
          </w:p>
        </w:tc>
        <w:tc>
          <w:tcPr>
            <w:tcW w:w="1766" w:type="dxa"/>
          </w:tcPr>
          <w:p w14:paraId="04B21DDE" w14:textId="77777777" w:rsidR="00C96582" w:rsidRPr="00C75BEB" w:rsidRDefault="0098341C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Group ideas into paragraphs around a theme.</w:t>
            </w:r>
          </w:p>
          <w:p w14:paraId="40307B48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33F63D09" w14:textId="1EF64463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Write under headings &amp; sub-headings.</w:t>
            </w:r>
          </w:p>
        </w:tc>
        <w:tc>
          <w:tcPr>
            <w:tcW w:w="1766" w:type="dxa"/>
          </w:tcPr>
          <w:p w14:paraId="0890579E" w14:textId="3AF45B74" w:rsidR="00C96582" w:rsidRPr="00C75BEB" w:rsidRDefault="0098341C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connectives to link paragraphs.</w:t>
            </w:r>
          </w:p>
        </w:tc>
        <w:tc>
          <w:tcPr>
            <w:tcW w:w="1766" w:type="dxa"/>
          </w:tcPr>
          <w:p w14:paraId="6603A500" w14:textId="77777777" w:rsidR="00C96582" w:rsidRPr="00C75BEB" w:rsidRDefault="0098341C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Consistently organize into paragraphs. </w:t>
            </w:r>
          </w:p>
          <w:p w14:paraId="34DDDEFF" w14:textId="77777777" w:rsidR="001768E8" w:rsidRPr="00C75BEB" w:rsidRDefault="001768E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39F17158" w14:textId="77777777" w:rsidR="00C75BEB" w:rsidRDefault="001768E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Link ideas across paragraphs using adverbials of time (e.g. later), place (e.g. nearby) and number (e.g. secondly).</w:t>
            </w:r>
          </w:p>
          <w:p w14:paraId="247DF79B" w14:textId="710A79D9" w:rsidR="00C75BEB" w:rsidRPr="00C75BEB" w:rsidRDefault="00C75BE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8" w:type="dxa"/>
          </w:tcPr>
          <w:p w14:paraId="4ED95427" w14:textId="77777777" w:rsidR="00C96582" w:rsidRPr="00C75BEB" w:rsidRDefault="0098341C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Wide range of devices to build cohesion within and across paragraphs. </w:t>
            </w:r>
          </w:p>
          <w:p w14:paraId="027E411A" w14:textId="77777777" w:rsidR="000155B2" w:rsidRPr="00C75BEB" w:rsidRDefault="000155B2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F90B96C" w14:textId="40942942" w:rsidR="000155B2" w:rsidRPr="00C75BEB" w:rsidRDefault="000155B2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paragraphs to signal change in time, scene, action, mood or person.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7C979F98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5B5957" w:rsidRPr="005B5957" w14:paraId="36B274C3" w14:textId="5FD2788D" w:rsidTr="00A179E1">
        <w:tc>
          <w:tcPr>
            <w:tcW w:w="1207" w:type="dxa"/>
          </w:tcPr>
          <w:p w14:paraId="3DB4155F" w14:textId="3182072D" w:rsidR="00C96582" w:rsidRPr="005B5957" w:rsidRDefault="00163838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Handwriting</w:t>
            </w:r>
          </w:p>
        </w:tc>
        <w:tc>
          <w:tcPr>
            <w:tcW w:w="1761" w:type="dxa"/>
          </w:tcPr>
          <w:p w14:paraId="456527AF" w14:textId="77777777" w:rsidR="00C96582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grip.</w:t>
            </w:r>
          </w:p>
          <w:p w14:paraId="54B04874" w14:textId="77777777" w:rsidR="009C7175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Write name (correct upper &amp; lower case).</w:t>
            </w:r>
          </w:p>
          <w:p w14:paraId="40A4BB79" w14:textId="17C4A4AF" w:rsidR="009C7175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letter formation for familiar words.</w:t>
            </w:r>
          </w:p>
        </w:tc>
        <w:tc>
          <w:tcPr>
            <w:tcW w:w="1760" w:type="dxa"/>
          </w:tcPr>
          <w:p w14:paraId="2D10CF3D" w14:textId="77777777" w:rsidR="00C96582" w:rsidRPr="00C75BEB" w:rsidRDefault="009C7175" w:rsidP="005903F1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formation of lower case – finishing in right place.</w:t>
            </w:r>
          </w:p>
          <w:p w14:paraId="2F089DF2" w14:textId="77777777" w:rsidR="009C7175" w:rsidRPr="00C75BEB" w:rsidRDefault="009C7175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formation of capital letters.</w:t>
            </w:r>
          </w:p>
          <w:p w14:paraId="7E960C04" w14:textId="77777777" w:rsidR="009C7175" w:rsidRDefault="009C7175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formation of digits.</w:t>
            </w:r>
          </w:p>
          <w:p w14:paraId="0AB8E242" w14:textId="2F8ED33B" w:rsidR="00C75BEB" w:rsidRPr="00C75BEB" w:rsidRDefault="00C75BEB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82" w:type="dxa"/>
          </w:tcPr>
          <w:p w14:paraId="71CCB486" w14:textId="154A4ED6" w:rsidR="00C96582" w:rsidRPr="00C75BEB" w:rsidRDefault="009C7175" w:rsidP="0049701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Evidence of diagonal &amp; horizontal strokes to join</w:t>
            </w:r>
          </w:p>
        </w:tc>
        <w:tc>
          <w:tcPr>
            <w:tcW w:w="1766" w:type="dxa"/>
          </w:tcPr>
          <w:p w14:paraId="55365B82" w14:textId="3FBA2B6B" w:rsidR="00C96582" w:rsidRPr="00C75BEB" w:rsidRDefault="009C7175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Legible, joined handwriting. </w:t>
            </w:r>
          </w:p>
        </w:tc>
        <w:tc>
          <w:tcPr>
            <w:tcW w:w="1766" w:type="dxa"/>
          </w:tcPr>
          <w:p w14:paraId="21617A8C" w14:textId="670900CD" w:rsidR="00C96582" w:rsidRPr="00C75BEB" w:rsidRDefault="009C7175" w:rsidP="00DE26B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Legible, joined handwriting o</w:t>
            </w:r>
            <w:r w:rsidR="00DE26B5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f</w:t>
            </w:r>
            <w:bookmarkStart w:id="0" w:name="_GoBack"/>
            <w:bookmarkEnd w:id="0"/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consistent quality. </w:t>
            </w:r>
          </w:p>
        </w:tc>
        <w:tc>
          <w:tcPr>
            <w:tcW w:w="1766" w:type="dxa"/>
          </w:tcPr>
          <w:p w14:paraId="33A70B0D" w14:textId="70274B61" w:rsidR="00C96582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Legible and fluent style. </w:t>
            </w:r>
          </w:p>
        </w:tc>
        <w:tc>
          <w:tcPr>
            <w:tcW w:w="1768" w:type="dxa"/>
          </w:tcPr>
          <w:p w14:paraId="2A5FC26C" w14:textId="2E83C778" w:rsidR="00C96582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Legible, fluent and personal style.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6791DD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09D868DB" w:rsidR="00673BF2" w:rsidRPr="005B5957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5B5957" w:rsidSect="00C96582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4"/>
    <w:rsid w:val="000155B2"/>
    <w:rsid w:val="000F313E"/>
    <w:rsid w:val="00102658"/>
    <w:rsid w:val="00163838"/>
    <w:rsid w:val="001768E8"/>
    <w:rsid w:val="001F027B"/>
    <w:rsid w:val="0023522F"/>
    <w:rsid w:val="002607E9"/>
    <w:rsid w:val="0029188E"/>
    <w:rsid w:val="002A3851"/>
    <w:rsid w:val="002A6527"/>
    <w:rsid w:val="002B0F3D"/>
    <w:rsid w:val="002C36A9"/>
    <w:rsid w:val="002D0D14"/>
    <w:rsid w:val="002D24B7"/>
    <w:rsid w:val="002E2C30"/>
    <w:rsid w:val="002F4B58"/>
    <w:rsid w:val="002F5D9A"/>
    <w:rsid w:val="00307313"/>
    <w:rsid w:val="0031785B"/>
    <w:rsid w:val="00361EF2"/>
    <w:rsid w:val="0038550E"/>
    <w:rsid w:val="003901F8"/>
    <w:rsid w:val="003A2ECE"/>
    <w:rsid w:val="003F322E"/>
    <w:rsid w:val="0041142E"/>
    <w:rsid w:val="0049701F"/>
    <w:rsid w:val="0049775D"/>
    <w:rsid w:val="004E01FC"/>
    <w:rsid w:val="004E23CF"/>
    <w:rsid w:val="004F2F9D"/>
    <w:rsid w:val="0051036E"/>
    <w:rsid w:val="00511C23"/>
    <w:rsid w:val="005204B8"/>
    <w:rsid w:val="0053080D"/>
    <w:rsid w:val="00567BD6"/>
    <w:rsid w:val="00577159"/>
    <w:rsid w:val="005903F1"/>
    <w:rsid w:val="00597B24"/>
    <w:rsid w:val="005B5957"/>
    <w:rsid w:val="005D3541"/>
    <w:rsid w:val="005D3B04"/>
    <w:rsid w:val="005D61CF"/>
    <w:rsid w:val="005E261E"/>
    <w:rsid w:val="005F792F"/>
    <w:rsid w:val="00612786"/>
    <w:rsid w:val="00673BF2"/>
    <w:rsid w:val="00685697"/>
    <w:rsid w:val="006D5E21"/>
    <w:rsid w:val="006F1FC4"/>
    <w:rsid w:val="00764344"/>
    <w:rsid w:val="007A3397"/>
    <w:rsid w:val="007E0402"/>
    <w:rsid w:val="007E66F3"/>
    <w:rsid w:val="007F23DD"/>
    <w:rsid w:val="007F380A"/>
    <w:rsid w:val="00825156"/>
    <w:rsid w:val="0082667D"/>
    <w:rsid w:val="008268AE"/>
    <w:rsid w:val="0084631E"/>
    <w:rsid w:val="00872EB1"/>
    <w:rsid w:val="008E7219"/>
    <w:rsid w:val="00914804"/>
    <w:rsid w:val="00961A69"/>
    <w:rsid w:val="00977C65"/>
    <w:rsid w:val="0098341C"/>
    <w:rsid w:val="009A3975"/>
    <w:rsid w:val="009C3E6D"/>
    <w:rsid w:val="009C7175"/>
    <w:rsid w:val="009E5930"/>
    <w:rsid w:val="009E7AC6"/>
    <w:rsid w:val="009F6A17"/>
    <w:rsid w:val="00A11A52"/>
    <w:rsid w:val="00A179E1"/>
    <w:rsid w:val="00A472DE"/>
    <w:rsid w:val="00A51343"/>
    <w:rsid w:val="00AA027A"/>
    <w:rsid w:val="00AB2D0A"/>
    <w:rsid w:val="00AE0FA2"/>
    <w:rsid w:val="00B37F1D"/>
    <w:rsid w:val="00B45A21"/>
    <w:rsid w:val="00BA4CC6"/>
    <w:rsid w:val="00BA57EE"/>
    <w:rsid w:val="00BD46EC"/>
    <w:rsid w:val="00BE5342"/>
    <w:rsid w:val="00BE7871"/>
    <w:rsid w:val="00BF56BE"/>
    <w:rsid w:val="00C131E8"/>
    <w:rsid w:val="00C14CA8"/>
    <w:rsid w:val="00C75BEB"/>
    <w:rsid w:val="00C91AE2"/>
    <w:rsid w:val="00C96582"/>
    <w:rsid w:val="00CA4C27"/>
    <w:rsid w:val="00D04E31"/>
    <w:rsid w:val="00D157C7"/>
    <w:rsid w:val="00D318AE"/>
    <w:rsid w:val="00D74C7D"/>
    <w:rsid w:val="00D902E0"/>
    <w:rsid w:val="00DD0776"/>
    <w:rsid w:val="00DE26B5"/>
    <w:rsid w:val="00DF7F9E"/>
    <w:rsid w:val="00E044D1"/>
    <w:rsid w:val="00E110F8"/>
    <w:rsid w:val="00E2132B"/>
    <w:rsid w:val="00E22FCC"/>
    <w:rsid w:val="00E32AC0"/>
    <w:rsid w:val="00E83476"/>
    <w:rsid w:val="00EA5651"/>
    <w:rsid w:val="00EB0901"/>
    <w:rsid w:val="00EB2DBB"/>
    <w:rsid w:val="00EE40CD"/>
    <w:rsid w:val="00EF0848"/>
    <w:rsid w:val="00EF7BC6"/>
    <w:rsid w:val="00F24772"/>
    <w:rsid w:val="00F454B5"/>
    <w:rsid w:val="00F5126D"/>
    <w:rsid w:val="00F5212F"/>
    <w:rsid w:val="00F5500D"/>
    <w:rsid w:val="00F83E64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Camby</dc:creator>
  <cp:keywords/>
  <dc:description/>
  <cp:lastModifiedBy>Simon</cp:lastModifiedBy>
  <cp:revision>119</cp:revision>
  <cp:lastPrinted>2011-08-04T11:27:00Z</cp:lastPrinted>
  <dcterms:created xsi:type="dcterms:W3CDTF">2011-07-10T10:39:00Z</dcterms:created>
  <dcterms:modified xsi:type="dcterms:W3CDTF">2013-04-13T17:54:00Z</dcterms:modified>
</cp:coreProperties>
</file>